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90" w:rsidRDefault="00337908" w:rsidP="007A214A">
      <w:pPr>
        <w:pStyle w:val="Tittel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4692074</wp:posOffset>
                </wp:positionH>
                <wp:positionV relativeFrom="paragraph">
                  <wp:posOffset>-741350</wp:posOffset>
                </wp:positionV>
                <wp:extent cx="1817991" cy="285115"/>
                <wp:effectExtent l="0" t="0" r="11430" b="1968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991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908" w:rsidRPr="00337908" w:rsidRDefault="0033790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337908">
                              <w:rPr>
                                <w:color w:val="A6A6A6" w:themeColor="background1" w:themeShade="A6"/>
                              </w:rPr>
                              <w:t>Mal rev. 01 – 18.05.2020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69.45pt;margin-top:-58.35pt;width:143.1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vpJQIAAEcEAAAOAAAAZHJzL2Uyb0RvYy54bWysU9tu2zAMfR+wfxD0vjg2kiUx4hRdugwD&#10;ugvQ7gNkWY6FSqImKbGzrx8lp1l2exnmB0E0qUPyHHJ9M2hFjsJ5Caai+WRKiTAcGmn2Ff3yuHu1&#10;pMQHZhqmwIiKnoSnN5uXL9a9LUUBHahGOIIgxpe9rWgXgi2zzPNOaOYnYIVBZwtOs4Cm22eNYz2i&#10;a5UV0+nrrAfXWAdceI9/70Yn3ST8thU8fGpbLwJRFcXaQjpdOut4Zps1K/eO2U7ycxnsH6rQTBpM&#10;eoG6Y4GRg5O/QWnJHXhow4SDzqBtJRepB+wmn/7SzUPHrEi9IDneXmjy/w+Wfzx+dkQ2FS3yBSWG&#10;aRTpUTz5UMOTJ0UkqLe+xLgHi5FheAMDCp2a9fYeOEYZ2HbM7MWtc9B3gjVYYB5fZldPRxwfQer+&#10;AzSYhx0CJKChdTqyh3wQREehThdxxBAIjymX+WK1yinh6CuW8zyfpxSsfH5tnQ/vBGgSLxV1KH5C&#10;Z8d7H2I1rHwOick8KNnspFLJcPt6qxw5MhyUXfrO6D+FKUP6iq7mxXwk4K8Q0/T9CULLgBOvpK7o&#10;8hLEykjbW9OkeQxMqvGOJStz5jFSN5IYhno461JDc0JGHYyTjZuIlw7cN0p6nOqK+q8H5gQl6r1B&#10;VVb5bBbXIBmz+aJAw1176msPMxyhKhooGa/bkFYnEmbgFtVrZSI2yjxWcq4VpzXxfd6suA7Xdor6&#10;sf+b7wAAAP//AwBQSwMEFAAGAAgAAAAhADLg7eniAAAADQEAAA8AAABkcnMvZG93bnJldi54bWxM&#10;j8FOwzAMhu9IvENkJC5oS9tB25WmE0ICwQ0GgmvWeG1F4pQk68rbk53gaPvT7++vN7PRbELnB0sC&#10;0mUCDKm1aqBOwPvbw6IE5oMkJbUlFPCDHjbN+VktK2WP9IrTNnQshpCvpIA+hLHi3Lc9GumXdkSK&#10;t711RoY4uo4rJ48x3GieJUnOjRwofujliPc9tl/bgxFQXj9Nn/559fLR5nu9DlfF9PjthLi8mO9u&#10;gQWcwx8MJ/2oDk102tkDKc+0gGJVriMqYJGmeQHshCTZTQZsF3dFWgJvav6/RfMLAAD//wMAUEsB&#10;Ai0AFAAGAAgAAAAhALaDOJL+AAAA4QEAABMAAAAAAAAAAAAAAAAAAAAAAFtDb250ZW50X1R5cGVz&#10;XS54bWxQSwECLQAUAAYACAAAACEAOP0h/9YAAACUAQAACwAAAAAAAAAAAAAAAAAvAQAAX3JlbHMv&#10;LnJlbHNQSwECLQAUAAYACAAAACEA6xV76SUCAABHBAAADgAAAAAAAAAAAAAAAAAuAgAAZHJzL2Uy&#10;b0RvYy54bWxQSwECLQAUAAYACAAAACEAMuDt6eIAAAANAQAADwAAAAAAAAAAAAAAAAB/BAAAZHJz&#10;L2Rvd25yZXYueG1sUEsFBgAAAAAEAAQA8wAAAI4FAAAAAA==&#10;">
                <v:textbox>
                  <w:txbxContent>
                    <w:p w:rsidR="00337908" w:rsidRPr="00337908" w:rsidRDefault="00337908">
                      <w:pPr>
                        <w:rPr>
                          <w:color w:val="A6A6A6" w:themeColor="background1" w:themeShade="A6"/>
                        </w:rPr>
                      </w:pPr>
                      <w:r w:rsidRPr="00337908">
                        <w:rPr>
                          <w:color w:val="A6A6A6" w:themeColor="background1" w:themeShade="A6"/>
                        </w:rPr>
                        <w:t>Mal rev. 01 – 18.05.2020</w:t>
                      </w:r>
                    </w:p>
                  </w:txbxContent>
                </v:textbox>
              </v:shape>
            </w:pict>
          </mc:Fallback>
        </mc:AlternateContent>
      </w:r>
      <w:r w:rsidR="00F93FBE">
        <w:t>WRC-23</w:t>
      </w:r>
      <w:bookmarkStart w:id="0" w:name="_GoBack"/>
      <w:bookmarkEnd w:id="0"/>
    </w:p>
    <w:p w:rsidR="00F93FBE" w:rsidRDefault="00F93FBE" w:rsidP="007A214A">
      <w:pPr>
        <w:pStyle w:val="Tittel"/>
        <w:jc w:val="center"/>
      </w:pPr>
      <w:r>
        <w:t>Aktørinnspill til NOR-DOC</w:t>
      </w:r>
    </w:p>
    <w:p w:rsidR="00F93FBE" w:rsidRDefault="00F93FBE"/>
    <w:tbl>
      <w:tblPr>
        <w:tblStyle w:val="Tabellrutenet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F93FBE" w:rsidTr="00F93FBE">
        <w:tc>
          <w:tcPr>
            <w:tcW w:w="3397" w:type="dxa"/>
          </w:tcPr>
          <w:p w:rsidR="00F93FBE" w:rsidRPr="00F93FBE" w:rsidRDefault="00F93FBE">
            <w:pPr>
              <w:rPr>
                <w:b/>
              </w:rPr>
            </w:pPr>
            <w:r w:rsidRPr="00F93FBE">
              <w:rPr>
                <w:b/>
              </w:rPr>
              <w:t>Aktørens navn:</w:t>
            </w:r>
          </w:p>
        </w:tc>
        <w:tc>
          <w:tcPr>
            <w:tcW w:w="5665" w:type="dxa"/>
          </w:tcPr>
          <w:p w:rsidR="00F93FBE" w:rsidRDefault="00F93FBE"/>
        </w:tc>
      </w:tr>
      <w:tr w:rsidR="00F93FBE" w:rsidTr="00F93FBE">
        <w:tc>
          <w:tcPr>
            <w:tcW w:w="3397" w:type="dxa"/>
          </w:tcPr>
          <w:p w:rsidR="00F93FBE" w:rsidRPr="00F93FBE" w:rsidRDefault="00F93FBE">
            <w:pPr>
              <w:rPr>
                <w:b/>
              </w:rPr>
            </w:pPr>
            <w:r w:rsidRPr="00F93FBE">
              <w:rPr>
                <w:b/>
              </w:rPr>
              <w:t>Innspillets dato:</w:t>
            </w:r>
          </w:p>
        </w:tc>
        <w:tc>
          <w:tcPr>
            <w:tcW w:w="5665" w:type="dxa"/>
          </w:tcPr>
          <w:p w:rsidR="00F93FBE" w:rsidRDefault="00F93FBE"/>
        </w:tc>
      </w:tr>
      <w:tr w:rsidR="00F93FBE" w:rsidTr="00F93FBE">
        <w:tc>
          <w:tcPr>
            <w:tcW w:w="3397" w:type="dxa"/>
          </w:tcPr>
          <w:p w:rsidR="00F93FBE" w:rsidRPr="00F93FBE" w:rsidRDefault="00F93FBE">
            <w:pPr>
              <w:rPr>
                <w:b/>
              </w:rPr>
            </w:pPr>
            <w:r w:rsidRPr="00F93FBE">
              <w:rPr>
                <w:b/>
              </w:rPr>
              <w:t>Revisjon (frivillig):</w:t>
            </w:r>
          </w:p>
        </w:tc>
        <w:tc>
          <w:tcPr>
            <w:tcW w:w="5665" w:type="dxa"/>
          </w:tcPr>
          <w:p w:rsidR="00F93FBE" w:rsidRDefault="00F93FBE"/>
        </w:tc>
      </w:tr>
      <w:tr w:rsidR="00F93FBE" w:rsidTr="00F93FBE">
        <w:tc>
          <w:tcPr>
            <w:tcW w:w="3397" w:type="dxa"/>
          </w:tcPr>
          <w:p w:rsidR="00F93FBE" w:rsidRPr="00F93FBE" w:rsidRDefault="00F93FBE">
            <w:pPr>
              <w:rPr>
                <w:b/>
              </w:rPr>
            </w:pPr>
            <w:r w:rsidRPr="00F93FBE">
              <w:rPr>
                <w:b/>
              </w:rPr>
              <w:t>Aktørens referanse (frivillig):</w:t>
            </w:r>
          </w:p>
        </w:tc>
        <w:tc>
          <w:tcPr>
            <w:tcW w:w="5665" w:type="dxa"/>
          </w:tcPr>
          <w:p w:rsidR="00F93FBE" w:rsidRDefault="00F93FBE"/>
        </w:tc>
      </w:tr>
    </w:tbl>
    <w:p w:rsidR="00F93FBE" w:rsidRDefault="00F93FBE"/>
    <w:p w:rsidR="00F93FBE" w:rsidRDefault="00F93FBE">
      <w:r>
        <w:t>Ved revidering av innspill, så anvendes revisjonsmarkeringer på forrige innsendt innspill. Før revideringen av innspill gjøres, godtas alle tidligere revisjonsmarkeringer, slik at kun forskjellen mellom dette og foregående innspill vises.</w:t>
      </w:r>
      <w:r w:rsidR="002447FC">
        <w:t xml:space="preserve"> Husk å oppdatere dato i tabell </w:t>
      </w:r>
      <w:r w:rsidR="000C3B75">
        <w:t>under hvert agendapunkt hvor innspill revideres</w:t>
      </w:r>
      <w:r w:rsidR="002447FC">
        <w:t>.</w:t>
      </w:r>
    </w:p>
    <w:p w:rsidR="00F93FBE" w:rsidRDefault="00F93FBE"/>
    <w:p w:rsidR="00F93FBE" w:rsidRDefault="00F93FBE">
      <w:r>
        <w:t>Innspillet vil i sin helhet legges ved bakerst i NOR-DOC. For å unngå å måtte legge inn flere dokumenter fra en aktør, ber vi om at innspillet bygger videre på tidligere innsendt innspill. Agendapunkter der innspillet ikke revideres i en ny versjon, beholdes urørt i dokumentet.</w:t>
      </w:r>
    </w:p>
    <w:p w:rsidR="008C46AA" w:rsidRDefault="008C46AA"/>
    <w:p w:rsidR="008C46AA" w:rsidRDefault="008C46AA">
      <w:r>
        <w:t>Aktøren står fritt til å slette tabell for agendapunkter det ikke ønskes å gi innspill på.</w:t>
      </w:r>
    </w:p>
    <w:p w:rsidR="00F93FBE" w:rsidRDefault="00F93FBE"/>
    <w:p w:rsidR="00BF1CA0" w:rsidRDefault="00BF1CA0" w:rsidP="00BF1CA0">
      <w:pPr>
        <w:pStyle w:val="Overskrift1"/>
      </w:pPr>
      <w:r w:rsidRPr="00BF1CA0">
        <w:t>Agendapunkt 1.1 – Beskyttelse av AMS og MMS i 4 800-4 990 MHz fra IMT i enkelte land (No. 5.441B)</w:t>
      </w:r>
    </w:p>
    <w:p w:rsidR="00587F5C" w:rsidRDefault="00587F5C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BF1CA0" w:rsidRPr="00BF1CA0" w:rsidTr="00BF1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587F5C" w:rsidRPr="00BF1CA0" w:rsidRDefault="00587F5C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587F5C" w:rsidRPr="00BF1CA0" w:rsidRDefault="00587F5C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587F5C" w:rsidTr="00BF1CA0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587F5C" w:rsidRPr="00BF1CA0" w:rsidRDefault="00587F5C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587F5C" w:rsidTr="00587F5C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587F5C" w:rsidRDefault="00587F5C" w:rsidP="0019704D"/>
          <w:p w:rsidR="00587F5C" w:rsidRDefault="00587F5C" w:rsidP="0019704D"/>
          <w:p w:rsidR="00587F5C" w:rsidRDefault="00587F5C" w:rsidP="0019704D"/>
          <w:p w:rsidR="00587F5C" w:rsidRDefault="00587F5C" w:rsidP="0019704D"/>
        </w:tc>
      </w:tr>
      <w:tr w:rsidR="00587F5C" w:rsidTr="00BF1CA0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587F5C" w:rsidRPr="00BF1CA0" w:rsidRDefault="00587F5C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587F5C" w:rsidTr="00587F5C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587F5C" w:rsidRDefault="00587F5C" w:rsidP="0019704D"/>
        </w:tc>
      </w:tr>
      <w:tr w:rsidR="00587F5C" w:rsidTr="00BF1CA0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587F5C" w:rsidRPr="00BF1CA0" w:rsidRDefault="00587F5C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587F5C" w:rsidTr="00587F5C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587F5C" w:rsidRDefault="00587F5C" w:rsidP="0019704D"/>
          <w:p w:rsidR="00587F5C" w:rsidRDefault="00587F5C" w:rsidP="0019704D"/>
        </w:tc>
      </w:tr>
    </w:tbl>
    <w:p w:rsidR="00587F5C" w:rsidRDefault="00587F5C"/>
    <w:p w:rsidR="00803C7B" w:rsidRDefault="00803C7B"/>
    <w:p w:rsidR="00803C7B" w:rsidRDefault="00803C7B" w:rsidP="00803C7B">
      <w:pPr>
        <w:pStyle w:val="Overskrift1"/>
      </w:pPr>
      <w:r w:rsidRPr="00803C7B">
        <w:lastRenderedPageBreak/>
        <w:t>Agendapunkt 1.2 – IMT i 3 300-3 400 MHz, 3 600-3 800 MHz, 6 425-7 025 MHz, 7 025-7 125 MHz og 10.0-10.5 GHz</w:t>
      </w:r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" w:name="_Toc40340022"/>
      <w:r w:rsidRPr="009C45E5">
        <w:t>Agendapunkt 1.3 – Vurdere primær allokering for MS i 3 600-3 800 MHz i Region 1</w:t>
      </w:r>
      <w:bookmarkEnd w:id="1"/>
    </w:p>
    <w:p w:rsidR="00587F5C" w:rsidRDefault="00587F5C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C16AD8" w:rsidRDefault="00803C7B" w:rsidP="00803C7B">
      <w:pPr>
        <w:pStyle w:val="Overskrift1"/>
        <w:rPr>
          <w:lang w:val="en-GB"/>
        </w:rPr>
      </w:pPr>
      <w:bookmarkStart w:id="2" w:name="_Toc40340023"/>
      <w:proofErr w:type="spellStart"/>
      <w:r w:rsidRPr="00C16AD8">
        <w:rPr>
          <w:lang w:val="en-GB"/>
        </w:rPr>
        <w:t>Agendapunkt</w:t>
      </w:r>
      <w:proofErr w:type="spellEnd"/>
      <w:r w:rsidRPr="00C16AD8">
        <w:rPr>
          <w:lang w:val="en-GB"/>
        </w:rPr>
        <w:t xml:space="preserve"> 1.4 – «High-altitude platform stations as IMT base stations» (HIBS) i IMT </w:t>
      </w:r>
      <w:proofErr w:type="spellStart"/>
      <w:r w:rsidRPr="00C16AD8">
        <w:rPr>
          <w:lang w:val="en-GB"/>
        </w:rPr>
        <w:t>bånd</w:t>
      </w:r>
      <w:proofErr w:type="spellEnd"/>
      <w:r w:rsidRPr="00C16AD8">
        <w:rPr>
          <w:lang w:val="en-GB"/>
        </w:rPr>
        <w:t xml:space="preserve"> under 2.7 GHz</w:t>
      </w:r>
      <w:bookmarkEnd w:id="2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3" w:name="_Toc40340024"/>
      <w:r w:rsidRPr="009C45E5">
        <w:t>Agendapunkt 1.5 – Revidere spektrum bruk og behov i 470-960 MHz for Region 1</w:t>
      </w:r>
      <w:bookmarkEnd w:id="3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4" w:name="_Toc40340025"/>
      <w:r w:rsidRPr="009C45E5">
        <w:t>Agendapunkt 1.6 – Stasjoner om bord sub-orbitale fartøy</w:t>
      </w:r>
      <w:bookmarkEnd w:id="4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5" w:name="_Toc40340026"/>
      <w:r w:rsidRPr="009C45E5">
        <w:t>Agendapunkt 1.7 – AMS(R)S i 117.975-137 MHz</w:t>
      </w:r>
      <w:bookmarkEnd w:id="5"/>
      <w:r>
        <w:t xml:space="preserve"> </w:t>
      </w:r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6" w:name="_Toc40340027"/>
      <w:r w:rsidRPr="009C45E5">
        <w:t>Agendapunkt 1.8 – Revidere Resolution 155 og No. 5.484B</w:t>
      </w:r>
      <w:bookmarkEnd w:id="6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7" w:name="_Toc40340028"/>
      <w:r w:rsidRPr="009C45E5">
        <w:t xml:space="preserve">Agendapunkt 1.9 – Revidere RR </w:t>
      </w:r>
      <w:proofErr w:type="spellStart"/>
      <w:r w:rsidRPr="009C45E5">
        <w:t>Appendix</w:t>
      </w:r>
      <w:proofErr w:type="spellEnd"/>
      <w:r w:rsidRPr="009C45E5">
        <w:t xml:space="preserve"> 27</w:t>
      </w:r>
      <w:bookmarkEnd w:id="7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lastRenderedPageBreak/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965C16" w:rsidRDefault="00803C7B" w:rsidP="00803C7B">
      <w:pPr>
        <w:pStyle w:val="Overskrift1"/>
      </w:pPr>
      <w:bookmarkStart w:id="8" w:name="_Toc40340029"/>
      <w:r w:rsidRPr="009C45E5">
        <w:t>Agendapunkt 1.10 – AMS non-</w:t>
      </w:r>
      <w:proofErr w:type="spellStart"/>
      <w:r w:rsidRPr="009C45E5">
        <w:t>safety</w:t>
      </w:r>
      <w:bookmarkEnd w:id="8"/>
      <w:proofErr w:type="spellEnd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9" w:name="_Toc40340030"/>
      <w:r w:rsidRPr="009C45E5">
        <w:t>Agendapunkt 1.11 – Modernisering av GMDSS</w:t>
      </w:r>
      <w:bookmarkEnd w:id="9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0" w:name="_Toc40340031"/>
      <w:r w:rsidRPr="009C45E5">
        <w:t xml:space="preserve">Agendapunkt 1.12 – EESS radar </w:t>
      </w:r>
      <w:proofErr w:type="spellStart"/>
      <w:r w:rsidRPr="009C45E5">
        <w:t>sounders</w:t>
      </w:r>
      <w:proofErr w:type="spellEnd"/>
      <w:r w:rsidRPr="009C45E5">
        <w:t xml:space="preserve"> rundt 45 MHz</w:t>
      </w:r>
      <w:bookmarkEnd w:id="10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965C16" w:rsidRDefault="00803C7B" w:rsidP="00803C7B">
      <w:pPr>
        <w:pStyle w:val="Overskrift1"/>
      </w:pPr>
      <w:bookmarkStart w:id="11" w:name="_Toc40340032"/>
      <w:r w:rsidRPr="001A2DF3">
        <w:t>Agendapunkt 1.13 – Oppgradering av status for SRS i 14.8-15.35 GHz</w:t>
      </w:r>
      <w:bookmarkEnd w:id="11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2" w:name="_Toc40340033"/>
      <w:r w:rsidRPr="001A2DF3">
        <w:t>Agendapunkt 1.14 – Revidere EESS (passive) i 231.5-252 GHz</w:t>
      </w:r>
      <w:bookmarkEnd w:id="12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lastRenderedPageBreak/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Pr="00B10BFB" w:rsidRDefault="00803C7B" w:rsidP="00803C7B">
      <w:pPr>
        <w:pStyle w:val="Overskrift1"/>
      </w:pPr>
      <w:bookmarkStart w:id="13" w:name="_Toc40340034"/>
      <w:r w:rsidRPr="001A2DF3">
        <w:t>Agendapunkt 1.15 – GSO ESIM i Ku-bånd</w:t>
      </w:r>
      <w:bookmarkEnd w:id="13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Pr="00B10BFB" w:rsidRDefault="00803C7B" w:rsidP="00803C7B">
      <w:pPr>
        <w:pStyle w:val="Overskrift1"/>
      </w:pPr>
      <w:bookmarkStart w:id="14" w:name="_Toc40340035"/>
      <w:r w:rsidRPr="001A2DF3">
        <w:t xml:space="preserve">Agendapunkt 1.16 – NGSO ESIM i </w:t>
      </w:r>
      <w:proofErr w:type="spellStart"/>
      <w:r w:rsidRPr="001A2DF3">
        <w:t>Ka</w:t>
      </w:r>
      <w:proofErr w:type="spellEnd"/>
      <w:r w:rsidRPr="001A2DF3">
        <w:t>-bånd</w:t>
      </w:r>
      <w:bookmarkEnd w:id="14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5" w:name="_Toc40340036"/>
      <w:r w:rsidRPr="001A2DF3">
        <w:t>Agendapunkt 1.17 – Inter-satellitt linker</w:t>
      </w:r>
      <w:bookmarkEnd w:id="15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6" w:name="_Toc40340037"/>
      <w:r w:rsidRPr="001A2DF3">
        <w:t>Agendapunkt 1.18 – MSS allokeringer for smalbånd data innsamling</w:t>
      </w:r>
      <w:bookmarkEnd w:id="16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7" w:name="_Toc40340038"/>
      <w:r>
        <w:t>Agendapunkt 1.19</w:t>
      </w:r>
      <w:r w:rsidRPr="00064D6B">
        <w:t xml:space="preserve"> – </w:t>
      </w:r>
      <w:r>
        <w:t>FSS i 17 GHz i Region 2</w:t>
      </w:r>
      <w:bookmarkEnd w:id="17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lastRenderedPageBreak/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8" w:name="_Toc40340039"/>
      <w:r w:rsidRPr="00064D6B">
        <w:t>Agendapunkt 2 – gjennomgang av reviderte rekommandasjoner som RR har henvisninger til</w:t>
      </w:r>
      <w:bookmarkEnd w:id="18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19" w:name="_Toc40340041"/>
      <w:r w:rsidRPr="00C07AE6">
        <w:t>Agendapunkt 4 – gjennomgang av Resolusjoner og Rekommandasjoner fra tidligere konferanser</w:t>
      </w:r>
      <w:bookmarkEnd w:id="19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lastRenderedPageBreak/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20" w:name="_Toc40340044"/>
      <w:r w:rsidRPr="00064D6B">
        <w:t xml:space="preserve">Agendapunkt 7 – forbedringer av prosedyrer rundt koordinering av </w:t>
      </w:r>
      <w:proofErr w:type="spellStart"/>
      <w:r w:rsidRPr="00064D6B">
        <w:t>satellittnetverk</w:t>
      </w:r>
      <w:bookmarkEnd w:id="20"/>
      <w:proofErr w:type="spellEnd"/>
    </w:p>
    <w:p w:rsidR="00803C7B" w:rsidRDefault="00803C7B"/>
    <w:p w:rsidR="00803C7B" w:rsidRPr="00C16AD8" w:rsidRDefault="00803C7B" w:rsidP="00803C7B">
      <w:pPr>
        <w:pStyle w:val="Overskrift2"/>
        <w:rPr>
          <w:lang w:val="en-GB"/>
        </w:rPr>
      </w:pPr>
      <w:bookmarkStart w:id="21" w:name="_Toc40340045"/>
      <w:r w:rsidRPr="00C16AD8">
        <w:rPr>
          <w:lang w:val="en-GB"/>
        </w:rPr>
        <w:t>AI7 – Issue A</w:t>
      </w:r>
      <w:bookmarkEnd w:id="21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965C16" w:rsidRDefault="00803C7B" w:rsidP="00803C7B">
      <w:pPr>
        <w:pStyle w:val="Overskrift1"/>
      </w:pPr>
      <w:bookmarkStart w:id="22" w:name="_Toc40340046"/>
      <w:r w:rsidRPr="00064D6B">
        <w:t>Agendapunkt 8 - fotnoter</w:t>
      </w:r>
      <w:bookmarkEnd w:id="22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Pr="00B10BFB" w:rsidRDefault="00803C7B" w:rsidP="00803C7B">
      <w:pPr>
        <w:pStyle w:val="Overskrift1"/>
      </w:pPr>
      <w:bookmarkStart w:id="23" w:name="_Toc40340047"/>
      <w:r w:rsidRPr="00B10BFB">
        <w:t>Agendapu</w:t>
      </w:r>
      <w:r>
        <w:t>nkt 9 – rapport fra direktøren i</w:t>
      </w:r>
      <w:r w:rsidRPr="00B10BFB">
        <w:t xml:space="preserve"> BR</w:t>
      </w:r>
      <w:bookmarkEnd w:id="23"/>
    </w:p>
    <w:p w:rsidR="00803C7B" w:rsidRPr="00C16AD8" w:rsidRDefault="00803C7B" w:rsidP="00803C7B">
      <w:pPr>
        <w:pStyle w:val="Overskrift2"/>
        <w:rPr>
          <w:lang w:val="en-GB"/>
        </w:rPr>
      </w:pPr>
      <w:bookmarkStart w:id="24" w:name="_Toc40340048"/>
      <w:r w:rsidRPr="00C16AD8">
        <w:rPr>
          <w:lang w:val="en-GB"/>
        </w:rPr>
        <w:t xml:space="preserve">AI 9.1a – </w:t>
      </w:r>
      <w:proofErr w:type="spellStart"/>
      <w:r w:rsidRPr="00C16AD8">
        <w:rPr>
          <w:lang w:val="en-GB"/>
        </w:rPr>
        <w:t>Sensorer</w:t>
      </w:r>
      <w:proofErr w:type="spellEnd"/>
      <w:r w:rsidRPr="00C16AD8">
        <w:rPr>
          <w:lang w:val="en-GB"/>
        </w:rPr>
        <w:t xml:space="preserve"> for </w:t>
      </w:r>
      <w:proofErr w:type="spellStart"/>
      <w:r w:rsidRPr="00C16AD8">
        <w:rPr>
          <w:lang w:val="en-GB"/>
        </w:rPr>
        <w:t>romvær</w:t>
      </w:r>
      <w:bookmarkEnd w:id="24"/>
      <w:proofErr w:type="spellEnd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  <w:rPr>
          <w:i/>
        </w:rPr>
      </w:pPr>
      <w:bookmarkStart w:id="25" w:name="_Toc40340049"/>
      <w:r w:rsidRPr="001A2DF3">
        <w:t>AI 9.1b – Beskyttelse av RNSS i 1 240-1 300 MHz</w:t>
      </w:r>
      <w:bookmarkEnd w:id="25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  <w:rPr>
          <w:i/>
        </w:rPr>
      </w:pPr>
      <w:bookmarkStart w:id="26" w:name="_Toc40340050"/>
      <w:r w:rsidRPr="001A2DF3">
        <w:t>AI 9.1c – IMT for FWA i FS bånd</w:t>
      </w:r>
      <w:bookmarkEnd w:id="26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lastRenderedPageBreak/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  <w:rPr>
          <w:i/>
        </w:rPr>
      </w:pPr>
      <w:bookmarkStart w:id="27" w:name="_Toc40340051"/>
      <w:r w:rsidRPr="00064D6B">
        <w:t>AI 9.1</w:t>
      </w:r>
      <w:r>
        <w:t>d</w:t>
      </w:r>
      <w:r w:rsidRPr="00064D6B">
        <w:t xml:space="preserve"> – </w:t>
      </w:r>
      <w:r>
        <w:t>Beskyttelse av EESS (passive) i 36-37 GHz</w:t>
      </w:r>
      <w:bookmarkEnd w:id="27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  <w:rPr>
          <w:i/>
        </w:rPr>
      </w:pPr>
      <w:bookmarkStart w:id="28" w:name="_Toc40340052"/>
      <w:r w:rsidRPr="00064D6B">
        <w:t xml:space="preserve">AI 9.1 – </w:t>
      </w:r>
      <w:r>
        <w:t xml:space="preserve">Resolution 427 – </w:t>
      </w:r>
      <w:proofErr w:type="spellStart"/>
      <w:r>
        <w:t>Aeronautical</w:t>
      </w:r>
      <w:proofErr w:type="spellEnd"/>
      <w:r>
        <w:t xml:space="preserve"> </w:t>
      </w:r>
      <w:proofErr w:type="spellStart"/>
      <w:r>
        <w:t>provisions</w:t>
      </w:r>
      <w:bookmarkEnd w:id="28"/>
      <w:proofErr w:type="spellEnd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  <w:rPr>
          <w:i/>
        </w:rPr>
      </w:pPr>
      <w:bookmarkStart w:id="29" w:name="_Toc40340053"/>
      <w:r>
        <w:lastRenderedPageBreak/>
        <w:t xml:space="preserve">AI 9.1 – </w:t>
      </w:r>
      <w:proofErr w:type="spellStart"/>
      <w:r>
        <w:t>Article</w:t>
      </w:r>
      <w:proofErr w:type="spellEnd"/>
      <w:r>
        <w:t xml:space="preserve"> 21.5 for IMT</w:t>
      </w:r>
      <w:bookmarkEnd w:id="29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  <w:rPr>
          <w:i/>
        </w:rPr>
      </w:pPr>
      <w:bookmarkStart w:id="30" w:name="_Toc40340054"/>
      <w:r w:rsidRPr="00064D6B">
        <w:t xml:space="preserve">AI 9.1 – </w:t>
      </w:r>
      <w:r>
        <w:t xml:space="preserve">Resolution 655 – Time </w:t>
      </w:r>
      <w:proofErr w:type="spellStart"/>
      <w:r>
        <w:t>scale</w:t>
      </w:r>
      <w:bookmarkEnd w:id="30"/>
      <w:proofErr w:type="spellEnd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/>
    <w:p w:rsidR="00803C7B" w:rsidRDefault="00803C7B"/>
    <w:p w:rsidR="00803C7B" w:rsidRDefault="00803C7B" w:rsidP="00803C7B">
      <w:pPr>
        <w:pStyle w:val="Overskrift2"/>
      </w:pPr>
      <w:bookmarkStart w:id="31" w:name="_Toc40340055"/>
      <w:r>
        <w:t>AI 9.2 –  U</w:t>
      </w:r>
      <w:r w:rsidRPr="00FA0A71">
        <w:t>overensstemmelser i RR</w:t>
      </w:r>
      <w:bookmarkEnd w:id="31"/>
    </w:p>
    <w:p w:rsidR="00803C7B" w:rsidRDefault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lastRenderedPageBreak/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9E1EEE" w:rsidRDefault="009E1EEE" w:rsidP="00803C7B"/>
    <w:p w:rsidR="009206E8" w:rsidRDefault="009206E8" w:rsidP="00803C7B"/>
    <w:p w:rsidR="009206E8" w:rsidRDefault="009206E8" w:rsidP="009206E8">
      <w:pPr>
        <w:pStyle w:val="Overskrift2"/>
        <w:rPr>
          <w:i/>
        </w:rPr>
      </w:pPr>
      <w:bookmarkStart w:id="32" w:name="_Toc40340056"/>
      <w:r w:rsidRPr="008E708E">
        <w:t>AI 9.3 – Resolusjon 80</w:t>
      </w:r>
      <w:bookmarkEnd w:id="32"/>
    </w:p>
    <w:p w:rsidR="00803C7B" w:rsidRDefault="00803C7B" w:rsidP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803C7B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803C7B" w:rsidRPr="00BF1CA0" w:rsidRDefault="00803C7B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  <w:p w:rsidR="00803C7B" w:rsidRDefault="00803C7B" w:rsidP="0019704D"/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803C7B" w:rsidRPr="00BF1CA0" w:rsidRDefault="00803C7B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803C7B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803C7B" w:rsidRDefault="00803C7B" w:rsidP="0019704D"/>
          <w:p w:rsidR="00803C7B" w:rsidRDefault="00803C7B" w:rsidP="0019704D"/>
        </w:tc>
      </w:tr>
    </w:tbl>
    <w:p w:rsidR="00803C7B" w:rsidRDefault="00803C7B" w:rsidP="00803C7B"/>
    <w:p w:rsidR="009206E8" w:rsidRDefault="009206E8" w:rsidP="00803C7B"/>
    <w:p w:rsidR="009206E8" w:rsidRPr="00B10BFB" w:rsidRDefault="009206E8" w:rsidP="009206E8">
      <w:pPr>
        <w:pStyle w:val="Overskrift1"/>
      </w:pPr>
      <w:bookmarkStart w:id="33" w:name="_Toc40340057"/>
      <w:r w:rsidRPr="008E708E">
        <w:t>Agendapunkt 10 – agenda for den neste konferansen, WRC-2</w:t>
      </w:r>
      <w:r>
        <w:t>7</w:t>
      </w:r>
      <w:bookmarkEnd w:id="33"/>
    </w:p>
    <w:p w:rsidR="009206E8" w:rsidRDefault="009206E8" w:rsidP="00803C7B"/>
    <w:tbl>
      <w:tblPr>
        <w:tblStyle w:val="PTTabel"/>
        <w:tblW w:w="0" w:type="auto"/>
        <w:tblLook w:val="04A0" w:firstRow="1" w:lastRow="0" w:firstColumn="1" w:lastColumn="0" w:noHBand="0" w:noVBand="1"/>
      </w:tblPr>
      <w:tblGrid>
        <w:gridCol w:w="6246"/>
        <w:gridCol w:w="2707"/>
      </w:tblGrid>
      <w:tr w:rsidR="009206E8" w:rsidRPr="00BF1CA0" w:rsidTr="001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9206E8" w:rsidRPr="00BF1CA0" w:rsidRDefault="009206E8" w:rsidP="0019704D">
            <w:pPr>
              <w:rPr>
                <w:b/>
                <w:color w:val="FFFFFF" w:themeColor="background1"/>
              </w:rPr>
            </w:pPr>
            <w:r w:rsidRPr="00BF1CA0">
              <w:rPr>
                <w:b/>
                <w:color w:val="FFFFFF" w:themeColor="background1"/>
              </w:rPr>
              <w:t>&lt;</w:t>
            </w:r>
            <w:proofErr w:type="spellStart"/>
            <w:r w:rsidRPr="00BF1CA0">
              <w:rPr>
                <w:b/>
                <w:color w:val="FFFFFF" w:themeColor="background1"/>
              </w:rPr>
              <w:t>Aktørens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BF1CA0">
              <w:rPr>
                <w:b/>
                <w:color w:val="FFFFFF" w:themeColor="background1"/>
              </w:rPr>
              <w:t>navn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  <w:tc>
          <w:tcPr>
            <w:tcW w:w="27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808080" w:themeFill="background1" w:themeFillShade="80"/>
          </w:tcPr>
          <w:p w:rsidR="009206E8" w:rsidRPr="00BF1CA0" w:rsidRDefault="009206E8" w:rsidP="0019704D">
            <w:pPr>
              <w:rPr>
                <w:b/>
                <w:color w:val="FFFFFF" w:themeColor="background1"/>
              </w:rPr>
            </w:pP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 xml:space="preserve">: &lt;rev. </w:t>
            </w:r>
            <w:proofErr w:type="spellStart"/>
            <w:r w:rsidRPr="00BF1CA0">
              <w:rPr>
                <w:b/>
                <w:color w:val="FFFFFF" w:themeColor="background1"/>
              </w:rPr>
              <w:t>dato</w:t>
            </w:r>
            <w:proofErr w:type="spellEnd"/>
            <w:r w:rsidRPr="00BF1CA0">
              <w:rPr>
                <w:b/>
                <w:color w:val="FFFFFF" w:themeColor="background1"/>
              </w:rPr>
              <w:t>&gt;</w:t>
            </w:r>
          </w:p>
        </w:tc>
      </w:tr>
      <w:tr w:rsidR="009206E8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9206E8" w:rsidRPr="00BF1CA0" w:rsidRDefault="009206E8" w:rsidP="0019704D">
            <w:pPr>
              <w:rPr>
                <w:i/>
              </w:rPr>
            </w:pPr>
            <w:proofErr w:type="spellStart"/>
            <w:r w:rsidRPr="00BF1CA0">
              <w:rPr>
                <w:b/>
                <w:i/>
              </w:rPr>
              <w:t>Innspill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på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</w:t>
            </w:r>
            <w:proofErr w:type="spellEnd"/>
          </w:p>
        </w:tc>
      </w:tr>
      <w:tr w:rsidR="009206E8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06E8" w:rsidRDefault="009206E8" w:rsidP="0019704D"/>
          <w:p w:rsidR="009206E8" w:rsidRDefault="009206E8" w:rsidP="0019704D"/>
          <w:p w:rsidR="009206E8" w:rsidRDefault="009206E8" w:rsidP="0019704D"/>
          <w:p w:rsidR="009206E8" w:rsidRDefault="009206E8" w:rsidP="0019704D"/>
        </w:tc>
      </w:tr>
      <w:tr w:rsidR="009206E8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9206E8" w:rsidRPr="00BF1CA0" w:rsidRDefault="009206E8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Forslag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til</w:t>
            </w:r>
            <w:proofErr w:type="spellEnd"/>
            <w:r w:rsidRPr="00BF1CA0">
              <w:rPr>
                <w:b/>
                <w:i/>
              </w:rPr>
              <w:t xml:space="preserve"> Norsk </w:t>
            </w:r>
            <w:proofErr w:type="spellStart"/>
            <w:r w:rsidRPr="00BF1CA0">
              <w:rPr>
                <w:b/>
                <w:i/>
              </w:rPr>
              <w:t>prioriering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  <w:r w:rsidRPr="00BF1CA0">
              <w:rPr>
                <w:b/>
                <w:i/>
              </w:rPr>
              <w:t xml:space="preserve"> (</w:t>
            </w:r>
            <w:proofErr w:type="spellStart"/>
            <w:r w:rsidRPr="00BF1CA0">
              <w:rPr>
                <w:b/>
                <w:i/>
              </w:rPr>
              <w:t>Lav</w:t>
            </w:r>
            <w:proofErr w:type="spellEnd"/>
            <w:r w:rsidRPr="00BF1CA0">
              <w:rPr>
                <w:b/>
                <w:i/>
              </w:rPr>
              <w:t>/Medium/</w:t>
            </w:r>
            <w:proofErr w:type="spellStart"/>
            <w:r w:rsidRPr="00BF1CA0">
              <w:rPr>
                <w:b/>
                <w:i/>
              </w:rPr>
              <w:t>Høy</w:t>
            </w:r>
            <w:proofErr w:type="spellEnd"/>
            <w:r w:rsidRPr="00BF1CA0">
              <w:rPr>
                <w:b/>
                <w:i/>
              </w:rPr>
              <w:t>)</w:t>
            </w:r>
          </w:p>
        </w:tc>
      </w:tr>
      <w:tr w:rsidR="009206E8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06E8" w:rsidRDefault="009206E8" w:rsidP="0019704D"/>
        </w:tc>
      </w:tr>
      <w:tr w:rsidR="009206E8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9206E8" w:rsidRPr="00BF1CA0" w:rsidRDefault="009206E8" w:rsidP="0019704D">
            <w:pPr>
              <w:rPr>
                <w:b/>
                <w:i/>
              </w:rPr>
            </w:pPr>
            <w:proofErr w:type="spellStart"/>
            <w:r w:rsidRPr="00BF1CA0">
              <w:rPr>
                <w:b/>
                <w:i/>
              </w:rPr>
              <w:t>Argumentasjon</w:t>
            </w:r>
            <w:proofErr w:type="spellEnd"/>
            <w:r w:rsidRPr="00BF1CA0">
              <w:rPr>
                <w:b/>
                <w:i/>
              </w:rPr>
              <w:t xml:space="preserve"> for Norsk </w:t>
            </w:r>
            <w:proofErr w:type="spellStart"/>
            <w:r w:rsidRPr="00BF1CA0">
              <w:rPr>
                <w:b/>
                <w:i/>
              </w:rPr>
              <w:t>prioritering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av</w:t>
            </w:r>
            <w:proofErr w:type="spellEnd"/>
            <w:r w:rsidRPr="00BF1CA0">
              <w:rPr>
                <w:b/>
                <w:i/>
              </w:rPr>
              <w:t xml:space="preserve"> </w:t>
            </w:r>
            <w:proofErr w:type="spellStart"/>
            <w:r w:rsidRPr="00BF1CA0">
              <w:rPr>
                <w:b/>
                <w:i/>
              </w:rPr>
              <w:t>agendapunktet</w:t>
            </w:r>
            <w:proofErr w:type="spellEnd"/>
          </w:p>
        </w:tc>
      </w:tr>
      <w:tr w:rsidR="009206E8" w:rsidTr="0019704D">
        <w:tc>
          <w:tcPr>
            <w:tcW w:w="895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06E8" w:rsidRDefault="009206E8" w:rsidP="0019704D"/>
          <w:p w:rsidR="009206E8" w:rsidRDefault="009206E8" w:rsidP="0019704D"/>
        </w:tc>
      </w:tr>
    </w:tbl>
    <w:p w:rsidR="009206E8" w:rsidRDefault="009206E8" w:rsidP="00803C7B"/>
    <w:sectPr w:rsidR="009206E8" w:rsidSect="004F0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08" w:rsidRDefault="00337908" w:rsidP="00337908">
      <w:pPr>
        <w:spacing w:line="240" w:lineRule="auto"/>
      </w:pPr>
      <w:r>
        <w:separator/>
      </w:r>
    </w:p>
  </w:endnote>
  <w:endnote w:type="continuationSeparator" w:id="0">
    <w:p w:rsidR="00337908" w:rsidRDefault="00337908" w:rsidP="00337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08" w:rsidRDefault="00337908">
    <w:pPr>
      <w:pStyle w:val="Bunntekst"/>
      <w:jc w:val="right"/>
    </w:pPr>
    <w:r>
      <w:rPr>
        <w:color w:val="4F81BD" w:themeColor="accent1"/>
        <w:sz w:val="20"/>
        <w:szCs w:val="20"/>
      </w:rPr>
      <w:t xml:space="preserve">side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337908" w:rsidRDefault="003379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08" w:rsidRDefault="00337908" w:rsidP="00337908">
      <w:pPr>
        <w:spacing w:line="240" w:lineRule="auto"/>
      </w:pPr>
      <w:r>
        <w:separator/>
      </w:r>
    </w:p>
  </w:footnote>
  <w:footnote w:type="continuationSeparator" w:id="0">
    <w:p w:rsidR="00337908" w:rsidRDefault="00337908" w:rsidP="003379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1"/>
    <w:rsid w:val="0004145D"/>
    <w:rsid w:val="00074D76"/>
    <w:rsid w:val="000A6848"/>
    <w:rsid w:val="000A7F7A"/>
    <w:rsid w:val="000C3B75"/>
    <w:rsid w:val="00102A4D"/>
    <w:rsid w:val="001153B2"/>
    <w:rsid w:val="0016398A"/>
    <w:rsid w:val="00170571"/>
    <w:rsid w:val="001815CA"/>
    <w:rsid w:val="00191ACD"/>
    <w:rsid w:val="00193870"/>
    <w:rsid w:val="001B4A6C"/>
    <w:rsid w:val="001B7CF9"/>
    <w:rsid w:val="001C511D"/>
    <w:rsid w:val="00205C9C"/>
    <w:rsid w:val="00207134"/>
    <w:rsid w:val="002447FC"/>
    <w:rsid w:val="002A3CA3"/>
    <w:rsid w:val="002E3219"/>
    <w:rsid w:val="00337908"/>
    <w:rsid w:val="003C24AD"/>
    <w:rsid w:val="003C2CF5"/>
    <w:rsid w:val="003F3270"/>
    <w:rsid w:val="00415B5E"/>
    <w:rsid w:val="00434490"/>
    <w:rsid w:val="004D0619"/>
    <w:rsid w:val="004E6262"/>
    <w:rsid w:val="004F00C8"/>
    <w:rsid w:val="005358B3"/>
    <w:rsid w:val="00587F5C"/>
    <w:rsid w:val="00590341"/>
    <w:rsid w:val="005979C0"/>
    <w:rsid w:val="005A6E8D"/>
    <w:rsid w:val="00604B6B"/>
    <w:rsid w:val="00612928"/>
    <w:rsid w:val="00622D8D"/>
    <w:rsid w:val="00651405"/>
    <w:rsid w:val="0066299E"/>
    <w:rsid w:val="007869B5"/>
    <w:rsid w:val="007A214A"/>
    <w:rsid w:val="00803C7B"/>
    <w:rsid w:val="00807E4F"/>
    <w:rsid w:val="00814497"/>
    <w:rsid w:val="00860803"/>
    <w:rsid w:val="008C173C"/>
    <w:rsid w:val="008C46AA"/>
    <w:rsid w:val="008D0CA4"/>
    <w:rsid w:val="008D461F"/>
    <w:rsid w:val="008E22EF"/>
    <w:rsid w:val="009206E8"/>
    <w:rsid w:val="00952203"/>
    <w:rsid w:val="009527AF"/>
    <w:rsid w:val="009D5961"/>
    <w:rsid w:val="009E1EEE"/>
    <w:rsid w:val="009F6D6F"/>
    <w:rsid w:val="00A26984"/>
    <w:rsid w:val="00A91F1A"/>
    <w:rsid w:val="00AB696D"/>
    <w:rsid w:val="00AD223B"/>
    <w:rsid w:val="00B435E1"/>
    <w:rsid w:val="00B46594"/>
    <w:rsid w:val="00B60B40"/>
    <w:rsid w:val="00B65CE4"/>
    <w:rsid w:val="00B815EF"/>
    <w:rsid w:val="00B868A1"/>
    <w:rsid w:val="00B919BB"/>
    <w:rsid w:val="00BB11F2"/>
    <w:rsid w:val="00BC5C65"/>
    <w:rsid w:val="00BF1CA0"/>
    <w:rsid w:val="00C26670"/>
    <w:rsid w:val="00C42BC7"/>
    <w:rsid w:val="00C6485D"/>
    <w:rsid w:val="00C66490"/>
    <w:rsid w:val="00C66513"/>
    <w:rsid w:val="00C67325"/>
    <w:rsid w:val="00C809E3"/>
    <w:rsid w:val="00C91248"/>
    <w:rsid w:val="00CA4737"/>
    <w:rsid w:val="00D31DE1"/>
    <w:rsid w:val="00D3529B"/>
    <w:rsid w:val="00D547D8"/>
    <w:rsid w:val="00DA0970"/>
    <w:rsid w:val="00DB06A5"/>
    <w:rsid w:val="00DB454A"/>
    <w:rsid w:val="00DC2D6C"/>
    <w:rsid w:val="00DF312E"/>
    <w:rsid w:val="00E520EC"/>
    <w:rsid w:val="00E8165E"/>
    <w:rsid w:val="00EB4C38"/>
    <w:rsid w:val="00EB548B"/>
    <w:rsid w:val="00EC2163"/>
    <w:rsid w:val="00EC307A"/>
    <w:rsid w:val="00EF4D9B"/>
    <w:rsid w:val="00F041B6"/>
    <w:rsid w:val="00F04374"/>
    <w:rsid w:val="00F13616"/>
    <w:rsid w:val="00F3372C"/>
    <w:rsid w:val="00F53DBD"/>
    <w:rsid w:val="00F576B9"/>
    <w:rsid w:val="00F60AFE"/>
    <w:rsid w:val="00F93FBE"/>
    <w:rsid w:val="00FB24F2"/>
    <w:rsid w:val="00FB3572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92045"/>
  <w15:chartTrackingRefBased/>
  <w15:docId w15:val="{A4F235C7-E70F-49F6-B4B4-9BDEA49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BE"/>
    <w:pPr>
      <w:spacing w:line="319" w:lineRule="auto"/>
    </w:pPr>
    <w:rPr>
      <w:rFonts w:ascii="Arial" w:eastAsiaTheme="minorEastAsia" w:hAnsi="Arial" w:cstheme="minorBidi"/>
      <w:sz w:val="22"/>
      <w:szCs w:val="3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F1C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03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PTTabel">
    <w:name w:val="PT Tabel"/>
    <w:basedOn w:val="Vanligtabell"/>
    <w:uiPriority w:val="99"/>
    <w:rsid w:val="00F93FBE"/>
    <w:rPr>
      <w:rFonts w:ascii="Arial" w:eastAsiaTheme="minorEastAsia" w:hAnsi="Arial" w:cstheme="minorBidi"/>
      <w:sz w:val="22"/>
      <w:szCs w:val="22"/>
      <w:lang w:val="en-US" w:eastAsia="da-DK"/>
    </w:rPr>
    <w:tblPr>
      <w:tblInd w:w="113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il"/>
          <w:insideV w:val="single" w:sz="2" w:space="0" w:color="808080" w:themeColor="background1" w:themeShade="80"/>
          <w:tl2br w:val="nil"/>
          <w:tr2bl w:val="nil"/>
        </w:tcBorders>
        <w:shd w:val="clear" w:color="auto" w:fill="CCCCCC"/>
      </w:tcPr>
    </w:tblStylePr>
  </w:style>
  <w:style w:type="table" w:styleId="Tabellrutenett">
    <w:name w:val="Table Grid"/>
    <w:basedOn w:val="Vanligtabell"/>
    <w:rsid w:val="00F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BF1C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foravsnitt"/>
    <w:link w:val="Overskrift2"/>
    <w:semiHidden/>
    <w:rsid w:val="00803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styleId="Tittel">
    <w:name w:val="Title"/>
    <w:basedOn w:val="Normal"/>
    <w:next w:val="Normal"/>
    <w:link w:val="TittelTegn"/>
    <w:qFormat/>
    <w:rsid w:val="007A214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7A214A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Topptekst">
    <w:name w:val="header"/>
    <w:basedOn w:val="Normal"/>
    <w:link w:val="TopptekstTegn"/>
    <w:unhideWhenUsed/>
    <w:rsid w:val="0033790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337908"/>
    <w:rPr>
      <w:rFonts w:ascii="Arial" w:eastAsiaTheme="minorEastAsia" w:hAnsi="Arial" w:cstheme="minorBidi"/>
      <w:sz w:val="22"/>
      <w:szCs w:val="30"/>
      <w:lang w:eastAsia="da-DK"/>
    </w:rPr>
  </w:style>
  <w:style w:type="paragraph" w:styleId="Bunntekst">
    <w:name w:val="footer"/>
    <w:basedOn w:val="Normal"/>
    <w:link w:val="BunntekstTegn"/>
    <w:uiPriority w:val="99"/>
    <w:unhideWhenUsed/>
    <w:rsid w:val="0033790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908"/>
    <w:rPr>
      <w:rFonts w:ascii="Arial" w:eastAsiaTheme="minorEastAsia" w:hAnsi="Arial" w:cstheme="minorBidi"/>
      <w:sz w:val="22"/>
      <w:szCs w:val="3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3423-B2D0-4477-9D8C-F7DB6CB7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1102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Murberg,Øyvind</dc:creator>
  <cp:keywords/>
  <dc:description/>
  <cp:lastModifiedBy>Murberg,Øyvind</cp:lastModifiedBy>
  <cp:revision>12</cp:revision>
  <dcterms:created xsi:type="dcterms:W3CDTF">2020-05-18T07:32:00Z</dcterms:created>
  <dcterms:modified xsi:type="dcterms:W3CDTF">2020-05-19T06:19:00Z</dcterms:modified>
</cp:coreProperties>
</file>